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180"/>
        <w:ind w:left="1980" w:hanging="1980"/>
        <w:rPr>
          <w:rFonts w:hint="eastAsia" w:ascii="Arial" w:hAnsi="Arial" w:cs="Arial"/>
          <w:b/>
          <w:sz w:val="24"/>
          <w:szCs w:val="24"/>
          <w:highlight w:val="none"/>
        </w:rPr>
      </w:pPr>
      <w:r>
        <w:rPr>
          <w:rFonts w:hint="eastAsia" w:ascii="Arial" w:hAnsi="Arial" w:cs="Arial"/>
          <w:b/>
          <w:sz w:val="24"/>
          <w:szCs w:val="24"/>
          <w:highlight w:val="none"/>
        </w:rPr>
        <w:t>3GPP TSG-RAN WG4 Meeting # 106bis-e                               R4-230</w:t>
      </w:r>
      <w:r>
        <w:rPr>
          <w:rFonts w:hint="eastAsia" w:ascii="Arial" w:hAnsi="Arial" w:cs="Arial"/>
          <w:b/>
          <w:sz w:val="24"/>
          <w:szCs w:val="24"/>
          <w:highlight w:val="none"/>
          <w:lang w:val="en-US" w:eastAsia="zh-CN"/>
        </w:rPr>
        <w:t>4798</w:t>
      </w:r>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highlight w:val="none"/>
        </w:rPr>
        <w:t>Online, April 17 – April 26,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lang w:val="en-US" w:eastAsia="zh-CN"/>
        </w:rPr>
        <w:t>6.5.3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0" w:name="OLE_LINK1"/>
      <w:r>
        <w:rPr>
          <w:rFonts w:hint="eastAsia" w:ascii="Arial" w:hAnsi="Arial" w:eastAsia="宋体" w:cs="Arial"/>
          <w:b/>
          <w:sz w:val="24"/>
          <w:szCs w:val="24"/>
          <w:highlight w:val="none"/>
          <w:lang w:val="en-US" w:eastAsia="zh-CN"/>
        </w:rPr>
        <w:t>Discussion on UE RF requirements for the Extended L-band</w:t>
      </w:r>
      <w:bookmarkEnd w:id="0"/>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1" w:name="DocumentFor"/>
      <w:bookmarkEnd w:id="1"/>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RAN#99 meeting, the work item [</w:t>
      </w:r>
      <w:r>
        <w:rPr>
          <w:rFonts w:hint="eastAsia" w:ascii="Times New Roman" w:hAnsi="Times New Roman" w:eastAsia="宋体" w:cs="Times New Roman"/>
          <w:sz w:val="20"/>
          <w:szCs w:val="20"/>
          <w:highlight w:val="none"/>
          <w:lang w:val="en-US" w:eastAsia="zh-CN"/>
        </w:rPr>
        <w:t>RP-230790</w:t>
      </w:r>
      <w:r>
        <w:rPr>
          <w:rFonts w:hint="eastAsia" w:cs="Times New Roman"/>
          <w:kern w:val="2"/>
          <w:sz w:val="21"/>
          <w:szCs w:val="22"/>
          <w:highlight w:val="none"/>
          <w:lang w:val="en-US" w:eastAsia="zh-CN" w:bidi="ar-SA"/>
        </w:rPr>
        <w:t>] on introduction of the Extended L-band was approved. Part of the objective is as follows:</w:t>
      </w:r>
    </w:p>
    <w:p>
      <w:pPr>
        <w:pStyle w:val="50"/>
        <w:numPr>
          <w:ilvl w:val="0"/>
          <w:numId w:val="2"/>
        </w:numPr>
        <w:rPr>
          <w:iCs/>
          <w:sz w:val="21"/>
          <w:szCs w:val="21"/>
        </w:rPr>
      </w:pPr>
      <w:r>
        <w:rPr>
          <w:sz w:val="21"/>
          <w:szCs w:val="21"/>
        </w:rPr>
        <w:t xml:space="preserve">Specify a new E-UTRA NTN FDD band, with initial scope for Region 1, with UE transmitting at 1668 – 1675 MHz and SAN transmitting at </w:t>
      </w:r>
      <w:r>
        <w:rPr>
          <w:iCs/>
          <w:sz w:val="21"/>
          <w:szCs w:val="21"/>
        </w:rPr>
        <w:t>1518 – 1525 MHz</w:t>
      </w:r>
    </w:p>
    <w:p>
      <w:pPr>
        <w:pStyle w:val="50"/>
        <w:numPr>
          <w:ilvl w:val="1"/>
          <w:numId w:val="2"/>
        </w:numPr>
        <w:rPr>
          <w:iCs/>
          <w:sz w:val="21"/>
          <w:szCs w:val="21"/>
        </w:rPr>
      </w:pPr>
      <w:r>
        <w:rPr>
          <w:iCs/>
          <w:sz w:val="21"/>
          <w:szCs w:val="21"/>
        </w:rPr>
        <w:t>NOTE: The introduction of this new NTN band through this WID has no impact on existing 3GPP terrestrial band specifications.</w:t>
      </w:r>
    </w:p>
    <w:p>
      <w:pPr>
        <w:pStyle w:val="50"/>
        <w:numPr>
          <w:ilvl w:val="0"/>
          <w:numId w:val="2"/>
        </w:numPr>
        <w:rPr>
          <w:iCs/>
          <w:sz w:val="21"/>
          <w:szCs w:val="21"/>
        </w:rPr>
      </w:pPr>
      <w:r>
        <w:rPr>
          <w:sz w:val="21"/>
          <w:szCs w:val="21"/>
        </w:rPr>
        <w:t>Support UE Categories NB1, NB2, M1;</w:t>
      </w:r>
    </w:p>
    <w:p>
      <w:pPr>
        <w:pStyle w:val="50"/>
        <w:numPr>
          <w:ilvl w:val="0"/>
          <w:numId w:val="2"/>
        </w:numPr>
        <w:rPr>
          <w:iCs/>
          <w:sz w:val="21"/>
          <w:szCs w:val="21"/>
        </w:rPr>
      </w:pPr>
      <w:r>
        <w:rPr>
          <w:sz w:val="21"/>
          <w:szCs w:val="21"/>
        </w:rPr>
        <w:t xml:space="preserve">Support UE Power class 3 (+23dBm) and Power Class 5 (+20dBm); </w:t>
      </w:r>
    </w:p>
    <w:p>
      <w:pPr>
        <w:pStyle w:val="50"/>
        <w:numPr>
          <w:ilvl w:val="0"/>
          <w:numId w:val="2"/>
        </w:numPr>
        <w:rPr>
          <w:iCs/>
          <w:sz w:val="21"/>
          <w:szCs w:val="21"/>
        </w:rPr>
      </w:pPr>
      <w:r>
        <w:rPr>
          <w:sz w:val="21"/>
          <w:szCs w:val="21"/>
        </w:rPr>
        <w:t>Introduce the corresponding SAN and UE RF core requirements;</w:t>
      </w:r>
    </w:p>
    <w:p>
      <w:pPr>
        <w:pStyle w:val="50"/>
        <w:numPr>
          <w:ilvl w:val="0"/>
          <w:numId w:val="2"/>
        </w:numPr>
        <w:rPr>
          <w:iCs/>
          <w:sz w:val="21"/>
          <w:szCs w:val="21"/>
        </w:rPr>
      </w:pPr>
      <w:r>
        <w:rPr>
          <w:sz w:val="21"/>
          <w:szCs w:val="21"/>
        </w:rPr>
        <w:t>Introduce the corresponding RRM requirements.</w:t>
      </w:r>
      <w:r>
        <w:rPr>
          <w:sz w:val="21"/>
          <w:szCs w:val="21"/>
        </w:rPr>
        <w:tab/>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 xml:space="preserve">In this contribution, we want </w:t>
      </w:r>
      <w:r>
        <w:rPr>
          <w:rFonts w:hint="eastAsia"/>
          <w:lang w:val="en-US" w:eastAsia="zh-CN"/>
        </w:rPr>
        <w:t xml:space="preserve">to </w:t>
      </w:r>
      <w:r>
        <w:rPr>
          <w:rFonts w:hint="eastAsia"/>
          <w:lang w:val="en-US"/>
        </w:rPr>
        <w:t xml:space="preserve">share some initial views on </w:t>
      </w:r>
      <w:r>
        <w:rPr>
          <w:rFonts w:hint="eastAsia"/>
          <w:lang w:val="en-US" w:eastAsia="zh-CN"/>
        </w:rPr>
        <w:t>UE</w:t>
      </w:r>
      <w:r>
        <w:rPr>
          <w:rFonts w:hint="eastAsia"/>
          <w:lang w:val="en-US"/>
        </w:rPr>
        <w:t xml:space="preserve"> RF requirements</w:t>
      </w:r>
      <w:r>
        <w:rPr>
          <w:rFonts w:hint="eastAsia"/>
          <w:lang w:val="en-US" w:eastAsia="zh-CN"/>
        </w:rPr>
        <w:t xml:space="preserve"> for the Extended L-band</w:t>
      </w:r>
      <w:r>
        <w:rPr>
          <w:rFonts w:hint="eastAsia"/>
          <w:lang w:val="en-US"/>
        </w:rPr>
        <w:t xml:space="preserve">. </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20"/>
      <w:bookmarkStart w:id="3" w:name="OLE_LINK10"/>
      <w:bookmarkStart w:id="4" w:name="OLE_LINK13"/>
      <w:bookmarkStart w:id="5" w:name="OLE_LINK14"/>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lang w:val="en-US" w:eastAsia="zh-CN"/>
        </w:rPr>
      </w:pPr>
      <w:r>
        <w:rPr>
          <w:rFonts w:hint="eastAsia" w:ascii="Arial" w:hAnsi="Arial" w:cs="Arial"/>
          <w:sz w:val="28"/>
          <w:szCs w:val="28"/>
          <w:lang w:val="en-US" w:eastAsia="zh-CN"/>
        </w:rPr>
        <w:t>2.1. Operating bands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Based on the regulation of band number that the satellite bands are numbered in descending order from 256 and the following agreement approved in the last meeting, band number 253 should be applied to the Extended L-band.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adjustRightInd/>
              <w:rPr>
                <w:b/>
                <w:highlight w:val="green"/>
                <w:lang w:val="en-US" w:eastAsia="zh-CN"/>
              </w:rPr>
            </w:pPr>
            <w:r>
              <w:rPr>
                <w:b/>
                <w:highlight w:val="green"/>
                <w:lang w:val="en-US" w:eastAsia="zh-CN"/>
              </w:rPr>
              <w:t xml:space="preserve">Agreement: </w:t>
            </w:r>
          </w:p>
          <w:p>
            <w:pPr>
              <w:pStyle w:val="34"/>
              <w:numPr>
                <w:ilvl w:val="0"/>
                <w:numId w:val="3"/>
              </w:numPr>
              <w:spacing w:after="180"/>
              <w:rPr>
                <w:rFonts w:hint="eastAsia"/>
                <w:b w:val="0"/>
                <w:bCs w:val="0"/>
                <w:i w:val="0"/>
                <w:iCs w:val="0"/>
                <w:vertAlign w:val="baseline"/>
                <w:lang w:val="en-US" w:eastAsia="zh-CN"/>
              </w:rPr>
            </w:pPr>
            <w:r>
              <w:rPr>
                <w:highlight w:val="none"/>
              </w:rPr>
              <w:t>n254 is reserved for the band defined for WI NR_NTN_LSband</w:t>
            </w:r>
            <w:bookmarkStart w:id="7" w:name="_GoBack"/>
            <w:bookmarkEnd w:id="7"/>
          </w:p>
        </w:tc>
      </w:tr>
    </w:tbl>
    <w:p>
      <w:pPr>
        <w:pStyle w:val="45"/>
      </w:pPr>
    </w:p>
    <w:p>
      <w:pPr>
        <w:pStyle w:val="45"/>
      </w:pPr>
      <w:r>
        <w:t xml:space="preserve">Table </w:t>
      </w:r>
      <w:r>
        <w:rPr>
          <w:rFonts w:hint="eastAsia"/>
          <w:lang w:val="en-US" w:eastAsia="zh-CN"/>
        </w:rPr>
        <w:t>2</w:t>
      </w:r>
      <w:r>
        <w:t>.</w:t>
      </w:r>
      <w:r>
        <w:rPr>
          <w:rFonts w:hint="eastAsia"/>
          <w:lang w:val="en-US" w:eastAsia="zh-CN"/>
        </w:rPr>
        <w:t>1</w:t>
      </w:r>
      <w:r>
        <w:t>-1: E-UTRA operating bands for satellite access</w:t>
      </w:r>
    </w:p>
    <w:tbl>
      <w:tblPr>
        <w:tblStyle w:val="24"/>
        <w:tblW w:w="8221" w:type="dxa"/>
        <w:jc w:val="center"/>
        <w:tblLayout w:type="autofit"/>
        <w:tblCellMar>
          <w:top w:w="0" w:type="dxa"/>
          <w:left w:w="108" w:type="dxa"/>
          <w:bottom w:w="0" w:type="dxa"/>
          <w:right w:w="108" w:type="dxa"/>
        </w:tblCellMar>
      </w:tblPr>
      <w:tblGrid>
        <w:gridCol w:w="1508"/>
        <w:gridCol w:w="1227"/>
        <w:gridCol w:w="517"/>
        <w:gridCol w:w="1259"/>
        <w:gridCol w:w="1274"/>
        <w:gridCol w:w="510"/>
        <w:gridCol w:w="1060"/>
        <w:gridCol w:w="86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35"/>
              <w:rPr>
                <w:rFonts w:cs="Arial"/>
              </w:rPr>
            </w:pPr>
            <w:r>
              <w:rPr>
                <w:rFonts w:cs="Arial"/>
              </w:rPr>
              <w:t>E</w:t>
            </w:r>
            <w:r>
              <w:rPr>
                <w:rFonts w:cs="Arial"/>
              </w:rPr>
              <w:noBreakHyphen/>
            </w:r>
            <w:r>
              <w:rPr>
                <w:rFonts w:cs="Arial"/>
              </w:rPr>
              <w:t>UTRA Operating Band</w:t>
            </w:r>
          </w:p>
        </w:tc>
        <w:tc>
          <w:tcPr>
            <w:tcW w:w="3003"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844" w:type="dxa"/>
            <w:gridSpan w:val="3"/>
            <w:tcBorders>
              <w:top w:val="single" w:color="auto" w:sz="4" w:space="0"/>
              <w:bottom w:val="single" w:color="auto" w:sz="4" w:space="0"/>
              <w:right w:val="single" w:color="auto" w:sz="4" w:space="0"/>
            </w:tcBorders>
            <w:vAlign w:val="center"/>
          </w:tcPr>
          <w:p>
            <w:pPr>
              <w:pStyle w:val="35"/>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866" w:type="dxa"/>
            <w:vMerge w:val="restart"/>
            <w:tcBorders>
              <w:top w:val="single" w:color="auto" w:sz="4" w:space="0"/>
              <w:left w:val="single" w:color="auto" w:sz="4" w:space="0"/>
              <w:right w:val="single" w:color="auto" w:sz="4" w:space="0"/>
            </w:tcBorders>
          </w:tcPr>
          <w:p>
            <w:pPr>
              <w:pStyle w:val="35"/>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35"/>
              <w:rPr>
                <w:rFonts w:cs="Arial"/>
              </w:rPr>
            </w:pPr>
          </w:p>
        </w:tc>
        <w:tc>
          <w:tcPr>
            <w:tcW w:w="3003"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44" w:type="dxa"/>
            <w:gridSpan w:val="3"/>
            <w:tcBorders>
              <w:top w:val="single" w:color="auto" w:sz="4" w:space="0"/>
              <w:bottom w:val="single" w:color="auto" w:sz="4" w:space="0"/>
              <w:right w:val="single" w:color="auto" w:sz="4" w:space="0"/>
            </w:tcBorders>
            <w:vAlign w:val="center"/>
          </w:tcPr>
          <w:p>
            <w:pPr>
              <w:pStyle w:val="35"/>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866" w:type="dxa"/>
            <w:vMerge w:val="continue"/>
            <w:tcBorders>
              <w:left w:val="single" w:color="auto" w:sz="4" w:space="0"/>
              <w:bottom w:val="single" w:color="auto" w:sz="4" w:space="0"/>
              <w:right w:val="single" w:color="auto" w:sz="4" w:space="0"/>
            </w:tcBorders>
          </w:tcPr>
          <w:p>
            <w:pPr>
              <w:pStyle w:val="36"/>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36"/>
              <w:rPr>
                <w:rFonts w:hint="default" w:eastAsia="宋体" w:cs="Arial"/>
                <w:lang w:val="en-US" w:eastAsia="zh-CN"/>
              </w:rPr>
            </w:pPr>
            <w:r>
              <w:rPr>
                <w:rFonts w:hint="eastAsia" w:eastAsia="宋体" w:cs="Arial"/>
                <w:lang w:val="en-US" w:eastAsia="zh-CN"/>
              </w:rPr>
              <w:t>[</w:t>
            </w:r>
            <w:r>
              <w:rPr>
                <w:rFonts w:cs="Arial"/>
              </w:rPr>
              <w:t>25</w:t>
            </w:r>
            <w:r>
              <w:rPr>
                <w:rFonts w:hint="eastAsia" w:eastAsia="宋体" w:cs="Arial"/>
                <w:lang w:val="en-US" w:eastAsia="zh-CN"/>
              </w:rPr>
              <w:t>3]</w:t>
            </w:r>
          </w:p>
        </w:tc>
        <w:tc>
          <w:tcPr>
            <w:tcW w:w="1227" w:type="dxa"/>
            <w:tcBorders>
              <w:top w:val="single" w:color="auto" w:sz="4" w:space="0"/>
              <w:left w:val="single" w:color="auto" w:sz="4" w:space="0"/>
              <w:bottom w:val="single" w:color="auto" w:sz="4" w:space="0"/>
              <w:right w:val="nil"/>
            </w:tcBorders>
          </w:tcPr>
          <w:p>
            <w:pPr>
              <w:pStyle w:val="95"/>
              <w:wordWrap w:val="0"/>
              <w:rPr>
                <w:rFonts w:cs="Arial"/>
                <w:lang w:eastAsia="zh-CN"/>
              </w:rPr>
            </w:pPr>
            <w:r>
              <w:rPr>
                <w:rFonts w:hint="eastAsia" w:cs="Arial"/>
                <w:lang w:val="en-US" w:eastAsia="zh-CN"/>
              </w:rPr>
              <w:t>1668</w:t>
            </w:r>
            <w:r>
              <w:rPr>
                <w:rFonts w:cs="Arial"/>
                <w:lang w:eastAsia="zh-CN"/>
              </w:rPr>
              <w:t xml:space="preserve"> MHz</w:t>
            </w:r>
          </w:p>
        </w:tc>
        <w:tc>
          <w:tcPr>
            <w:tcW w:w="517" w:type="dxa"/>
            <w:tcBorders>
              <w:top w:val="single" w:color="auto" w:sz="4" w:space="0"/>
              <w:left w:val="nil"/>
              <w:bottom w:val="single" w:color="auto" w:sz="4" w:space="0"/>
              <w:right w:val="nil"/>
            </w:tcBorders>
          </w:tcPr>
          <w:p>
            <w:pPr>
              <w:pStyle w:val="36"/>
              <w:rPr>
                <w:rFonts w:cs="Arial"/>
                <w:lang w:eastAsia="zh-CN"/>
              </w:rPr>
            </w:pPr>
            <w:r>
              <w:rPr>
                <w:rFonts w:cs="Arial"/>
                <w:lang w:eastAsia="zh-CN"/>
              </w:rPr>
              <w:t>–</w:t>
            </w:r>
          </w:p>
        </w:tc>
        <w:tc>
          <w:tcPr>
            <w:tcW w:w="1259" w:type="dxa"/>
            <w:tcBorders>
              <w:top w:val="single" w:color="auto" w:sz="4" w:space="0"/>
              <w:left w:val="nil"/>
              <w:bottom w:val="single" w:color="auto" w:sz="4" w:space="0"/>
              <w:right w:val="single" w:color="auto" w:sz="4" w:space="0"/>
            </w:tcBorders>
          </w:tcPr>
          <w:p>
            <w:pPr>
              <w:pStyle w:val="37"/>
              <w:rPr>
                <w:rFonts w:cs="Arial"/>
                <w:lang w:eastAsia="zh-CN"/>
              </w:rPr>
            </w:pPr>
            <w:r>
              <w:rPr>
                <w:rFonts w:hint="eastAsia" w:cs="Arial"/>
                <w:lang w:val="en-US" w:eastAsia="zh-CN"/>
              </w:rPr>
              <w:t>1675</w:t>
            </w:r>
            <w:r>
              <w:rPr>
                <w:rFonts w:cs="Arial"/>
                <w:lang w:eastAsia="zh-CN"/>
              </w:rPr>
              <w:t xml:space="preserve"> MHz</w:t>
            </w:r>
          </w:p>
        </w:tc>
        <w:tc>
          <w:tcPr>
            <w:tcW w:w="1274" w:type="dxa"/>
            <w:tcBorders>
              <w:top w:val="single" w:color="auto" w:sz="4" w:space="0"/>
              <w:left w:val="nil"/>
              <w:bottom w:val="single" w:color="auto" w:sz="4" w:space="0"/>
              <w:right w:val="nil"/>
            </w:tcBorders>
          </w:tcPr>
          <w:p>
            <w:pPr>
              <w:pStyle w:val="95"/>
            </w:pPr>
            <w:r>
              <w:rPr>
                <w:rFonts w:hint="eastAsia"/>
                <w:lang w:val="en-US" w:eastAsia="zh-CN"/>
              </w:rPr>
              <w:t>1518</w:t>
            </w:r>
            <w:r>
              <w:t xml:space="preserve"> MHz</w:t>
            </w:r>
          </w:p>
        </w:tc>
        <w:tc>
          <w:tcPr>
            <w:tcW w:w="510" w:type="dxa"/>
            <w:tcBorders>
              <w:top w:val="single" w:color="auto" w:sz="4" w:space="0"/>
              <w:left w:val="nil"/>
              <w:bottom w:val="single" w:color="auto" w:sz="4" w:space="0"/>
              <w:right w:val="nil"/>
            </w:tcBorders>
          </w:tcPr>
          <w:p>
            <w:pPr>
              <w:pStyle w:val="36"/>
            </w:pPr>
            <w:r>
              <w:t>–</w:t>
            </w:r>
          </w:p>
        </w:tc>
        <w:tc>
          <w:tcPr>
            <w:tcW w:w="1060" w:type="dxa"/>
            <w:tcBorders>
              <w:top w:val="single" w:color="auto" w:sz="4" w:space="0"/>
              <w:left w:val="nil"/>
              <w:bottom w:val="single" w:color="auto" w:sz="4" w:space="0"/>
              <w:right w:val="single" w:color="auto" w:sz="4" w:space="0"/>
            </w:tcBorders>
          </w:tcPr>
          <w:p>
            <w:pPr>
              <w:pStyle w:val="37"/>
            </w:pPr>
            <w:r>
              <w:rPr>
                <w:rFonts w:hint="eastAsia"/>
                <w:lang w:val="en-US" w:eastAsia="zh-CN"/>
              </w:rPr>
              <w:t>1525</w:t>
            </w:r>
            <w:r>
              <w:t xml:space="preserve"> MHz</w:t>
            </w:r>
          </w:p>
        </w:tc>
        <w:tc>
          <w:tcPr>
            <w:tcW w:w="866" w:type="dxa"/>
            <w:tcBorders>
              <w:top w:val="single" w:color="auto" w:sz="4" w:space="0"/>
              <w:left w:val="single" w:color="auto" w:sz="4" w:space="0"/>
              <w:bottom w:val="single" w:color="auto" w:sz="4" w:space="0"/>
              <w:right w:val="single" w:color="auto" w:sz="4" w:space="0"/>
            </w:tcBorders>
          </w:tcPr>
          <w:p>
            <w:pPr>
              <w:pStyle w:val="36"/>
              <w:rPr>
                <w:rFonts w:cs="Arial"/>
                <w:lang w:eastAsia="ja-JP"/>
              </w:rPr>
            </w:pPr>
            <w:r>
              <w:rPr>
                <w:rFonts w:hint="eastAsia" w:cs="Arial"/>
                <w:lang w:eastAsia="ja-JP"/>
              </w:rPr>
              <w:t>FDD</w:t>
            </w:r>
          </w:p>
        </w:tc>
      </w:tr>
      <w:tr>
        <w:trPr>
          <w:jc w:val="center"/>
        </w:trPr>
        <w:tc>
          <w:tcPr>
            <w:tcW w:w="8221" w:type="dxa"/>
            <w:gridSpan w:val="8"/>
            <w:tcBorders>
              <w:top w:val="single" w:color="auto" w:sz="4" w:space="0"/>
              <w:left w:val="single" w:color="auto" w:sz="4" w:space="0"/>
              <w:bottom w:val="single" w:color="auto" w:sz="4" w:space="0"/>
              <w:right w:val="single" w:color="auto" w:sz="4" w:space="0"/>
            </w:tcBorders>
          </w:tcPr>
          <w:p>
            <w:pPr>
              <w:pStyle w:val="48"/>
            </w:pPr>
            <w:r>
              <w:t>NOTE:</w:t>
            </w:r>
            <w:r>
              <w:tab/>
            </w:r>
            <w:r>
              <w:t>Satellite bands are numbered in descending order from 256</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bookmarkStart w:id="6" w:name="OLE_LINK2"/>
      <w:r>
        <w:rPr>
          <w:rFonts w:hint="eastAsia"/>
          <w:b w:val="0"/>
          <w:bCs w:val="0"/>
          <w:i w:val="0"/>
          <w:iCs w:val="0"/>
          <w:lang w:val="en-US" w:eastAsia="zh-CN"/>
        </w:rPr>
        <w:t>The Extended L-band should</w:t>
      </w:r>
      <w:bookmarkEnd w:id="6"/>
      <w:r>
        <w:rPr>
          <w:rFonts w:hint="eastAsia"/>
          <w:b w:val="0"/>
          <w:bCs w:val="0"/>
          <w:i w:val="0"/>
          <w:iCs w:val="0"/>
          <w:lang w:val="en-US" w:eastAsia="zh-CN"/>
        </w:rPr>
        <w:t xml:space="preserve"> be numbered as Table 2.1-1.</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2.2 Channel bandwidth and transmission bandwidth configuration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val="0"/>
          <w:bCs w:val="0"/>
          <w:i w:val="0"/>
          <w:iCs w:val="0"/>
          <w:lang w:val="en-US" w:eastAsia="zh-CN"/>
        </w:rPr>
        <w:t>The channel bandwidth and transmission bandwidth configuration of band 256 and 255 can be reused to the Extended L-band.</w:t>
      </w:r>
    </w:p>
    <w:p>
      <w:pPr>
        <w:keepNext w:val="0"/>
        <w:keepLines w:val="0"/>
        <w:pageBreakBefore w:val="0"/>
        <w:widowControl w:val="0"/>
        <w:suppressLineNumbers w:val="0"/>
        <w:kinsoku/>
        <w:wordWrap/>
        <w:overflowPunct/>
        <w:topLinePunct w:val="0"/>
        <w:autoSpaceDE/>
        <w:autoSpaceDN/>
        <w:bidi w:val="0"/>
        <w:adjustRightInd/>
        <w:snapToGrid/>
        <w:spacing w:before="0" w:beforeLines="-2147483648" w:after="0" w:afterLines="-2147483648" w:line="240" w:lineRule="auto"/>
        <w:jc w:val="left"/>
        <w:textAlignment w:val="auto"/>
        <w:outlineLvl w:val="2"/>
        <w:rPr>
          <w:rFonts w:hint="eastAsia" w:ascii="Arial" w:hAnsi="Arial" w:cs="Arial"/>
          <w:sz w:val="28"/>
          <w:szCs w:val="28"/>
          <w:lang w:val="en-US" w:eastAsia="zh-CN"/>
        </w:rPr>
      </w:pPr>
      <w:r>
        <w:rPr>
          <w:rFonts w:hint="eastAsia" w:ascii="Arial" w:hAnsi="Arial" w:cs="Arial"/>
          <w:sz w:val="28"/>
          <w:szCs w:val="28"/>
          <w:lang w:val="en-US" w:eastAsia="zh-CN"/>
        </w:rPr>
        <w:t>2.2.1 Channel bandwidth for category M1</w:t>
      </w:r>
    </w:p>
    <w:p>
      <w:r>
        <w:t xml:space="preserve">The </w:t>
      </w:r>
      <w:r>
        <w:rPr>
          <w:rFonts w:hint="eastAsia"/>
          <w:lang w:val="en-US" w:eastAsia="zh-CN"/>
        </w:rPr>
        <w:t>channel bandwidth and transmission bandwidth configuration for category M1 can be defined as Table 2.2-1</w:t>
      </w:r>
      <w:r>
        <w:t>.</w:t>
      </w:r>
    </w:p>
    <w:p>
      <w:pPr>
        <w:pStyle w:val="45"/>
      </w:pPr>
      <w:r>
        <w:t xml:space="preserve">Table </w:t>
      </w:r>
      <w:r>
        <w:rPr>
          <w:rFonts w:hint="eastAsia"/>
          <w:lang w:val="en-US" w:eastAsia="zh-CN"/>
        </w:rPr>
        <w:t>2.2</w:t>
      </w:r>
      <w:r>
        <w:t>-1: Transmission bandwidth configuration N</w:t>
      </w:r>
      <w:r>
        <w:rPr>
          <w:vertAlign w:val="subscript"/>
        </w:rPr>
        <w:t>RB</w:t>
      </w:r>
      <w:r>
        <w:t xml:space="preserve"> in E-UTRA channel bandwidths</w:t>
      </w:r>
    </w:p>
    <w:tbl>
      <w:tblPr>
        <w:tblStyle w:val="24"/>
        <w:tblW w:w="3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7"/>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37" w:type="dxa"/>
            <w:vAlign w:val="center"/>
          </w:tcPr>
          <w:p>
            <w:pPr>
              <w:pStyle w:val="35"/>
            </w:pPr>
            <w:r>
              <w:t>Channel bandwidth BW</w:t>
            </w:r>
            <w:r>
              <w:rPr>
                <w:vertAlign w:val="subscript"/>
              </w:rPr>
              <w:t>Channel</w:t>
            </w:r>
            <w:r>
              <w:t xml:space="preserve"> [MHz]</w:t>
            </w:r>
          </w:p>
        </w:tc>
        <w:tc>
          <w:tcPr>
            <w:tcW w:w="804" w:type="dxa"/>
            <w:vAlign w:val="center"/>
          </w:tcPr>
          <w:p>
            <w:pPr>
              <w:pStyle w:val="35"/>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37" w:type="dxa"/>
            <w:vAlign w:val="center"/>
          </w:tcPr>
          <w:p>
            <w:pPr>
              <w:pStyle w:val="36"/>
            </w:pPr>
            <w:r>
              <w:t>Transmission bandwidth configuration N</w:t>
            </w:r>
            <w:r>
              <w:rPr>
                <w:vertAlign w:val="subscript"/>
              </w:rPr>
              <w:t>RB</w:t>
            </w:r>
          </w:p>
        </w:tc>
        <w:tc>
          <w:tcPr>
            <w:tcW w:w="804" w:type="dxa"/>
            <w:vAlign w:val="center"/>
          </w:tcPr>
          <w:p>
            <w:pPr>
              <w:pStyle w:val="36"/>
            </w:pPr>
            <w:r>
              <w:t>6</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bCs/>
          <w:i w:val="0"/>
          <w:iCs w:val="0"/>
          <w:lang w:val="en-US" w:eastAsia="zh-CN"/>
        </w:rPr>
        <w:t xml:space="preserve">Proposal 2: </w:t>
      </w:r>
      <w:r>
        <w:rPr>
          <w:rFonts w:hint="eastAsia"/>
          <w:lang w:val="en-US" w:eastAsia="zh-CN"/>
        </w:rPr>
        <w:t>For the Extended L-band, channel bandwidth and transmission bandwidth configuration for eMTC NTN operation should be defined as Table 2.2-1.</w:t>
      </w:r>
    </w:p>
    <w:p>
      <w:pPr>
        <w:keepNext w:val="0"/>
        <w:keepLines w:val="0"/>
        <w:pageBreakBefore w:val="0"/>
        <w:widowControl w:val="0"/>
        <w:suppressLineNumbers w:val="0"/>
        <w:kinsoku/>
        <w:wordWrap/>
        <w:overflowPunct/>
        <w:topLinePunct w:val="0"/>
        <w:autoSpaceDE/>
        <w:autoSpaceDN/>
        <w:bidi w:val="0"/>
        <w:adjustRightInd/>
        <w:snapToGrid/>
        <w:spacing w:before="0" w:beforeLines="-2147483648" w:after="0" w:afterLines="-2147483648" w:line="240" w:lineRule="auto"/>
        <w:jc w:val="left"/>
        <w:textAlignment w:val="auto"/>
        <w:outlineLvl w:val="2"/>
        <w:rPr>
          <w:rFonts w:hint="eastAsia" w:ascii="Arial" w:hAnsi="Arial" w:cs="Arial"/>
          <w:sz w:val="28"/>
          <w:szCs w:val="28"/>
          <w:lang w:val="en-US" w:eastAsia="zh-CN"/>
        </w:rPr>
      </w:pPr>
      <w:r>
        <w:rPr>
          <w:rFonts w:hint="eastAsia" w:ascii="Arial" w:hAnsi="Arial" w:cs="Arial"/>
          <w:sz w:val="28"/>
          <w:szCs w:val="28"/>
          <w:lang w:val="en-US" w:eastAsia="zh-CN"/>
        </w:rPr>
        <w:t>2.2.2 Channel bandwidth for category NB1 and NB2</w:t>
      </w:r>
    </w:p>
    <w:p>
      <w:pPr>
        <w:rPr>
          <w:kern w:val="2"/>
        </w:rPr>
      </w:pPr>
      <w:r>
        <w:rPr>
          <w:rFonts w:hint="eastAsia"/>
          <w:kern w:val="2"/>
          <w:lang w:val="en-US" w:eastAsia="zh-CN"/>
        </w:rPr>
        <w:t>The channel bandwidth and transmission bandwidth configuration f</w:t>
      </w:r>
      <w:r>
        <w:rPr>
          <w:rFonts w:hint="eastAsia"/>
          <w:kern w:val="2"/>
        </w:rPr>
        <w:t xml:space="preserve">or </w:t>
      </w:r>
      <w:r>
        <w:rPr>
          <w:rFonts w:hint="eastAsia"/>
          <w:kern w:val="2"/>
          <w:lang w:eastAsia="zh-CN"/>
        </w:rPr>
        <w:t xml:space="preserve">category </w:t>
      </w:r>
      <w:r>
        <w:rPr>
          <w:rFonts w:hint="eastAsia"/>
          <w:kern w:val="2"/>
        </w:rPr>
        <w:t>NB1 and NB2</w:t>
      </w:r>
      <w:r>
        <w:rPr>
          <w:rFonts w:hint="eastAsia"/>
          <w:kern w:val="2"/>
          <w:lang w:val="en-US" w:eastAsia="zh-CN"/>
        </w:rPr>
        <w:t xml:space="preserve"> can be defined as Table 2.2-2</w:t>
      </w:r>
      <w:r>
        <w:rPr>
          <w:kern w:val="2"/>
        </w:rPr>
        <w:t>.</w:t>
      </w:r>
    </w:p>
    <w:p>
      <w:pPr>
        <w:pStyle w:val="45"/>
      </w:pPr>
      <w:r>
        <w:t xml:space="preserve">Table </w:t>
      </w:r>
      <w:r>
        <w:rPr>
          <w:rFonts w:hint="eastAsia"/>
          <w:lang w:val="en-US" w:eastAsia="zh-CN"/>
        </w:rPr>
        <w:t>2.2-2</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Style w:val="24"/>
        <w:tblW w:w="4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480" w:type="dxa"/>
            <w:vAlign w:val="center"/>
          </w:tcPr>
          <w:p>
            <w:pPr>
              <w:pStyle w:val="35"/>
            </w:pPr>
            <w:r>
              <w:t>Channel bandwidth BW</w:t>
            </w:r>
            <w:r>
              <w:rPr>
                <w:vertAlign w:val="subscript"/>
              </w:rPr>
              <w:t>Channel</w:t>
            </w:r>
            <w:r>
              <w:rPr>
                <w:kern w:val="2"/>
              </w:rPr>
              <w:t xml:space="preserve"> </w:t>
            </w:r>
            <w:r>
              <w:t>[kHz]</w:t>
            </w:r>
          </w:p>
        </w:tc>
        <w:tc>
          <w:tcPr>
            <w:tcW w:w="1800" w:type="dxa"/>
            <w:vAlign w:val="center"/>
          </w:tcPr>
          <w:p>
            <w:pPr>
              <w:pStyle w:val="35"/>
            </w:pPr>
            <w: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36"/>
            </w:pPr>
            <w:r>
              <w:t xml:space="preserve">Transmission bandwidth configuration </w:t>
            </w:r>
            <w:r>
              <w:rPr>
                <w:i/>
              </w:rPr>
              <w:t>N</w:t>
            </w:r>
            <w:r>
              <w:rPr>
                <w:vertAlign w:val="subscript"/>
              </w:rPr>
              <w:t>RB</w:t>
            </w:r>
          </w:p>
        </w:tc>
        <w:tc>
          <w:tcPr>
            <w:tcW w:w="1800" w:type="dxa"/>
            <w:vAlign w:val="center"/>
          </w:tcPr>
          <w:p>
            <w:pPr>
              <w:pStyle w:val="36"/>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36"/>
            </w:pPr>
            <w:r>
              <w:t xml:space="preserve">Transmission bandwidth configuration </w:t>
            </w:r>
            <w:r>
              <w:rPr>
                <w:i/>
              </w:rPr>
              <w:t>N</w:t>
            </w:r>
            <w:r>
              <w:rPr>
                <w:vertAlign w:val="subscript"/>
              </w:rPr>
              <w:t>tone 15kHz</w:t>
            </w:r>
          </w:p>
        </w:tc>
        <w:tc>
          <w:tcPr>
            <w:tcW w:w="1800" w:type="dxa"/>
            <w:vAlign w:val="center"/>
          </w:tcPr>
          <w:p>
            <w:pPr>
              <w:pStyle w:val="36"/>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tcBorders>
              <w:top w:val="single" w:color="auto" w:sz="4" w:space="0"/>
              <w:left w:val="single" w:color="auto" w:sz="4" w:space="0"/>
              <w:bottom w:val="single" w:color="auto" w:sz="4" w:space="0"/>
              <w:right w:val="single" w:color="auto" w:sz="4" w:space="0"/>
            </w:tcBorders>
            <w:vAlign w:val="center"/>
          </w:tcPr>
          <w:p>
            <w:pPr>
              <w:pStyle w:val="36"/>
            </w:pPr>
            <w:r>
              <w:t xml:space="preserve">Transmission bandwidth configuration </w:t>
            </w:r>
            <w:r>
              <w:rPr>
                <w:i/>
              </w:rPr>
              <w:t>N</w:t>
            </w:r>
            <w:r>
              <w:rPr>
                <w:vertAlign w:val="subscript"/>
              </w:rPr>
              <w:t xml:space="preserve">tone 3.75kHz </w:t>
            </w:r>
          </w:p>
        </w:tc>
        <w:tc>
          <w:tcPr>
            <w:tcW w:w="1800" w:type="dxa"/>
            <w:tcBorders>
              <w:top w:val="single" w:color="auto" w:sz="4" w:space="0"/>
              <w:left w:val="single" w:color="auto" w:sz="4" w:space="0"/>
              <w:bottom w:val="single" w:color="auto" w:sz="4" w:space="0"/>
              <w:right w:val="single" w:color="auto" w:sz="4" w:space="0"/>
            </w:tcBorders>
            <w:vAlign w:val="center"/>
          </w:tcPr>
          <w:p>
            <w:pPr>
              <w:pStyle w:val="36"/>
            </w:pPr>
            <w:r>
              <w:t>48</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i w:val="0"/>
          <w:iCs w:val="0"/>
          <w:lang w:val="en-US" w:eastAsia="zh-CN"/>
        </w:rPr>
      </w:pPr>
      <w:r>
        <w:rPr>
          <w:rFonts w:hint="eastAsia"/>
          <w:b/>
          <w:bCs/>
          <w:i w:val="0"/>
          <w:iCs w:val="0"/>
          <w:lang w:val="en-US" w:eastAsia="zh-CN"/>
        </w:rPr>
        <w:t xml:space="preserve">Proposal 3: </w:t>
      </w:r>
      <w:r>
        <w:rPr>
          <w:rFonts w:hint="eastAsia"/>
          <w:lang w:val="en-US" w:eastAsia="zh-CN"/>
        </w:rPr>
        <w:t>For the Extended L-band, channel bandwidth and transmission bandwidth configuration for NB-IoT NTN operation should be defined as Table 2.2-2.</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2.3 Channel raster, carrier frequency and EARFCN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The granularity of the global frequency raster and the relation between EARFCN and the carrier frequency of band 256/255 can be reused to the Extended L-band. Therefore, the channel raster, carrier frequency and EARFCN can be defined as Table 2.3-1.</w:t>
      </w:r>
    </w:p>
    <w:p>
      <w:pPr>
        <w:pStyle w:val="45"/>
      </w:pPr>
      <w:r>
        <w:rPr>
          <w:rFonts w:hint="eastAsia"/>
          <w:lang w:val="en-US" w:eastAsia="zh-CN"/>
        </w:rPr>
        <w:t>Table 2.3</w:t>
      </w:r>
      <w:r>
        <w:t>-1: E-UTRA channel numbers</w:t>
      </w:r>
    </w:p>
    <w:tbl>
      <w:tblPr>
        <w:tblStyle w:val="24"/>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977"/>
        <w:gridCol w:w="1013"/>
        <w:gridCol w:w="1030"/>
        <w:gridCol w:w="1848"/>
        <w:gridCol w:w="1009"/>
        <w:gridCol w:w="839"/>
        <w:gridCol w:w="1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35"/>
              <w:rPr>
                <w:rFonts w:cs="Arial"/>
              </w:rPr>
            </w:pPr>
            <w:r>
              <w:rPr>
                <w:rFonts w:cs="Arial"/>
              </w:rPr>
              <w:t>E-UTRA Operating</w:t>
            </w:r>
          </w:p>
          <w:p>
            <w:pPr>
              <w:pStyle w:val="35"/>
              <w:rPr>
                <w:rFonts w:cs="Arial"/>
              </w:rPr>
            </w:pPr>
            <w:r>
              <w:rPr>
                <w:rFonts w:cs="Arial"/>
              </w:rPr>
              <w:t>Band</w:t>
            </w:r>
          </w:p>
        </w:tc>
        <w:tc>
          <w:tcPr>
            <w:tcW w:w="977" w:type="dxa"/>
            <w:vMerge w:val="restart"/>
            <w:vAlign w:val="center"/>
          </w:tcPr>
          <w:p>
            <w:pPr>
              <w:pStyle w:val="35"/>
              <w:rPr>
                <w:rFonts w:cs="Arial"/>
              </w:rPr>
            </w:pPr>
            <w:r>
              <w:t>ΔF</w:t>
            </w:r>
            <w:r>
              <w:rPr>
                <w:vertAlign w:val="subscript"/>
              </w:rPr>
              <w:t>Raster</w:t>
            </w:r>
            <w:r>
              <w:t xml:space="preserve"> (kHz)</w:t>
            </w:r>
          </w:p>
        </w:tc>
        <w:tc>
          <w:tcPr>
            <w:tcW w:w="3891" w:type="dxa"/>
            <w:gridSpan w:val="3"/>
          </w:tcPr>
          <w:p>
            <w:pPr>
              <w:pStyle w:val="35"/>
              <w:rPr>
                <w:rFonts w:cs="Arial"/>
              </w:rPr>
            </w:pPr>
            <w:r>
              <w:rPr>
                <w:rFonts w:cs="Arial"/>
              </w:rPr>
              <w:t>Downlink</w:t>
            </w:r>
          </w:p>
        </w:tc>
        <w:tc>
          <w:tcPr>
            <w:tcW w:w="3696" w:type="dxa"/>
            <w:gridSpan w:val="3"/>
          </w:tcPr>
          <w:p>
            <w:pPr>
              <w:pStyle w:val="35"/>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35"/>
              <w:rPr>
                <w:rFonts w:cs="Arial"/>
              </w:rPr>
            </w:pPr>
          </w:p>
        </w:tc>
        <w:tc>
          <w:tcPr>
            <w:tcW w:w="977" w:type="dxa"/>
            <w:vMerge w:val="continue"/>
          </w:tcPr>
          <w:p>
            <w:pPr>
              <w:pStyle w:val="35"/>
              <w:rPr>
                <w:rFonts w:cs="Arial"/>
              </w:rPr>
            </w:pPr>
          </w:p>
        </w:tc>
        <w:tc>
          <w:tcPr>
            <w:tcW w:w="1013" w:type="dxa"/>
          </w:tcPr>
          <w:p>
            <w:pPr>
              <w:pStyle w:val="35"/>
              <w:rPr>
                <w:rFonts w:cs="Arial"/>
              </w:rPr>
            </w:pPr>
            <w:r>
              <w:rPr>
                <w:rFonts w:cs="Arial"/>
              </w:rPr>
              <w:t>F</w:t>
            </w:r>
            <w:r>
              <w:rPr>
                <w:rFonts w:cs="Arial"/>
                <w:vertAlign w:val="subscript"/>
              </w:rPr>
              <w:t xml:space="preserve">DL_low </w:t>
            </w:r>
            <w:r>
              <w:rPr>
                <w:rFonts w:cs="Arial"/>
              </w:rPr>
              <w:t>(MHz)</w:t>
            </w:r>
          </w:p>
        </w:tc>
        <w:tc>
          <w:tcPr>
            <w:tcW w:w="1030" w:type="dxa"/>
          </w:tcPr>
          <w:p>
            <w:pPr>
              <w:pStyle w:val="35"/>
              <w:rPr>
                <w:rFonts w:cs="Arial"/>
              </w:rPr>
            </w:pPr>
            <w:r>
              <w:rPr>
                <w:rFonts w:cs="Arial"/>
              </w:rPr>
              <w:t>N</w:t>
            </w:r>
            <w:r>
              <w:rPr>
                <w:rFonts w:cs="Arial"/>
                <w:vertAlign w:val="subscript"/>
              </w:rPr>
              <w:t>Offs-DL</w:t>
            </w:r>
          </w:p>
        </w:tc>
        <w:tc>
          <w:tcPr>
            <w:tcW w:w="1848" w:type="dxa"/>
          </w:tcPr>
          <w:p>
            <w:pPr>
              <w:pStyle w:val="35"/>
              <w:rPr>
                <w:rFonts w:cs="Arial"/>
                <w:vertAlign w:val="subscript"/>
              </w:rPr>
            </w:pPr>
            <w:r>
              <w:rPr>
                <w:rFonts w:cs="Arial"/>
              </w:rPr>
              <w:t>Range of N</w:t>
            </w:r>
            <w:r>
              <w:rPr>
                <w:rFonts w:cs="Arial"/>
                <w:vertAlign w:val="subscript"/>
              </w:rPr>
              <w:t>DL</w:t>
            </w:r>
          </w:p>
          <w:p>
            <w:pPr>
              <w:pStyle w:val="35"/>
              <w:rPr>
                <w:rFonts w:cs="Arial"/>
              </w:rPr>
            </w:pPr>
            <w:r>
              <w:rPr>
                <w:rFonts w:eastAsia="Yu Mincho"/>
              </w:rPr>
              <w:t>(First – &lt;Step size&gt; – Last)</w:t>
            </w:r>
          </w:p>
        </w:tc>
        <w:tc>
          <w:tcPr>
            <w:tcW w:w="1009" w:type="dxa"/>
          </w:tcPr>
          <w:p>
            <w:pPr>
              <w:pStyle w:val="35"/>
              <w:rPr>
                <w:rFonts w:cs="Arial"/>
              </w:rPr>
            </w:pPr>
            <w:r>
              <w:rPr>
                <w:rFonts w:cs="Arial"/>
              </w:rPr>
              <w:t>F</w:t>
            </w:r>
            <w:r>
              <w:rPr>
                <w:rFonts w:cs="Arial"/>
                <w:vertAlign w:val="subscript"/>
              </w:rPr>
              <w:t xml:space="preserve">UL_low </w:t>
            </w:r>
            <w:r>
              <w:rPr>
                <w:rFonts w:cs="Arial"/>
              </w:rPr>
              <w:t>(MHz)</w:t>
            </w:r>
          </w:p>
        </w:tc>
        <w:tc>
          <w:tcPr>
            <w:tcW w:w="839" w:type="dxa"/>
          </w:tcPr>
          <w:p>
            <w:pPr>
              <w:pStyle w:val="35"/>
              <w:rPr>
                <w:rFonts w:cs="Arial"/>
              </w:rPr>
            </w:pPr>
            <w:r>
              <w:rPr>
                <w:rFonts w:cs="Arial"/>
              </w:rPr>
              <w:t>N</w:t>
            </w:r>
            <w:r>
              <w:rPr>
                <w:rFonts w:cs="Arial"/>
                <w:vertAlign w:val="subscript"/>
              </w:rPr>
              <w:t>Offs-UL</w:t>
            </w:r>
          </w:p>
        </w:tc>
        <w:tc>
          <w:tcPr>
            <w:tcW w:w="1848" w:type="dxa"/>
          </w:tcPr>
          <w:p>
            <w:pPr>
              <w:pStyle w:val="35"/>
              <w:rPr>
                <w:rFonts w:cs="Arial"/>
                <w:vertAlign w:val="subscript"/>
              </w:rPr>
            </w:pPr>
            <w:r>
              <w:rPr>
                <w:rFonts w:cs="Arial"/>
              </w:rPr>
              <w:t>Range of N</w:t>
            </w:r>
            <w:r>
              <w:rPr>
                <w:rFonts w:cs="Arial"/>
                <w:vertAlign w:val="subscript"/>
              </w:rPr>
              <w:t>UL</w:t>
            </w:r>
          </w:p>
          <w:p>
            <w:pPr>
              <w:pStyle w:val="35"/>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36"/>
              <w:rPr>
                <w:rFonts w:hint="default" w:eastAsia="宋体" w:cs="Arial"/>
                <w:szCs w:val="18"/>
                <w:lang w:val="en-US" w:eastAsia="zh-CN"/>
              </w:rPr>
            </w:pPr>
            <w:r>
              <w:rPr>
                <w:rFonts w:hint="eastAsia" w:eastAsia="宋体" w:cs="Arial"/>
                <w:szCs w:val="18"/>
                <w:lang w:val="en-US" w:eastAsia="zh-CN"/>
              </w:rPr>
              <w:t>[253]</w:t>
            </w:r>
          </w:p>
        </w:tc>
        <w:tc>
          <w:tcPr>
            <w:tcW w:w="977" w:type="dxa"/>
          </w:tcPr>
          <w:p>
            <w:pPr>
              <w:pStyle w:val="36"/>
              <w:rPr>
                <w:rFonts w:hint="default" w:eastAsia="宋体" w:cs="Arial"/>
                <w:szCs w:val="18"/>
                <w:lang w:val="en-US" w:eastAsia="zh-CN"/>
              </w:rPr>
            </w:pPr>
            <w:r>
              <w:rPr>
                <w:rFonts w:hint="eastAsia" w:eastAsia="宋体" w:cs="Arial"/>
                <w:szCs w:val="18"/>
                <w:lang w:val="en-US" w:eastAsia="zh-CN"/>
              </w:rPr>
              <w:t>100</w:t>
            </w:r>
          </w:p>
        </w:tc>
        <w:tc>
          <w:tcPr>
            <w:tcW w:w="1013" w:type="dxa"/>
          </w:tcPr>
          <w:p>
            <w:pPr>
              <w:pStyle w:val="36"/>
              <w:rPr>
                <w:rFonts w:hint="default" w:eastAsia="宋体" w:cs="Arial"/>
                <w:szCs w:val="18"/>
                <w:lang w:val="en-US" w:eastAsia="zh-CN"/>
              </w:rPr>
            </w:pPr>
            <w:r>
              <w:rPr>
                <w:rFonts w:hint="eastAsia" w:eastAsia="宋体" w:cs="Arial"/>
                <w:szCs w:val="18"/>
                <w:lang w:val="en-US" w:eastAsia="zh-CN"/>
              </w:rPr>
              <w:t>1518</w:t>
            </w:r>
          </w:p>
        </w:tc>
        <w:tc>
          <w:tcPr>
            <w:tcW w:w="1030" w:type="dxa"/>
          </w:tcPr>
          <w:p>
            <w:pPr>
              <w:pStyle w:val="36"/>
              <w:rPr>
                <w:rFonts w:hint="default" w:eastAsia="宋体" w:cs="Arial"/>
                <w:lang w:val="en-US" w:eastAsia="zh-CN"/>
              </w:rPr>
            </w:pPr>
            <w:r>
              <w:rPr>
                <w:rFonts w:hint="eastAsia" w:eastAsia="宋体" w:cs="Arial"/>
                <w:lang w:val="en-US" w:eastAsia="zh-CN"/>
              </w:rPr>
              <w:t>228501</w:t>
            </w:r>
          </w:p>
        </w:tc>
        <w:tc>
          <w:tcPr>
            <w:tcW w:w="1848" w:type="dxa"/>
          </w:tcPr>
          <w:p>
            <w:pPr>
              <w:pStyle w:val="36"/>
              <w:rPr>
                <w:rFonts w:hint="default" w:eastAsia="宋体" w:cs="Arial"/>
                <w:lang w:val="en-US" w:eastAsia="zh-CN"/>
              </w:rPr>
            </w:pPr>
            <w:r>
              <w:rPr>
                <w:rFonts w:hint="eastAsia" w:eastAsia="宋体" w:cs="Arial"/>
                <w:lang w:val="en-US" w:eastAsia="zh-CN"/>
              </w:rPr>
              <w:t>228501-&lt;1&gt;-228570</w:t>
            </w:r>
          </w:p>
        </w:tc>
        <w:tc>
          <w:tcPr>
            <w:tcW w:w="1009" w:type="dxa"/>
          </w:tcPr>
          <w:p>
            <w:pPr>
              <w:pStyle w:val="36"/>
              <w:rPr>
                <w:rFonts w:hint="default" w:eastAsia="宋体" w:cs="Arial"/>
                <w:szCs w:val="18"/>
                <w:lang w:val="en-US" w:eastAsia="zh-CN"/>
              </w:rPr>
            </w:pPr>
            <w:r>
              <w:rPr>
                <w:rFonts w:hint="eastAsia" w:eastAsia="宋体" w:cs="Arial"/>
                <w:szCs w:val="18"/>
                <w:lang w:val="en-US" w:eastAsia="zh-CN"/>
              </w:rPr>
              <w:t>1668</w:t>
            </w:r>
          </w:p>
        </w:tc>
        <w:tc>
          <w:tcPr>
            <w:tcW w:w="839" w:type="dxa"/>
          </w:tcPr>
          <w:p>
            <w:pPr>
              <w:pStyle w:val="36"/>
              <w:rPr>
                <w:rFonts w:hint="default" w:eastAsia="宋体" w:cs="Arial"/>
                <w:lang w:val="en-US" w:eastAsia="zh-CN"/>
              </w:rPr>
            </w:pPr>
            <w:r>
              <w:rPr>
                <w:rFonts w:hint="eastAsia" w:eastAsia="宋体" w:cs="Arial"/>
                <w:lang w:val="en-US" w:eastAsia="zh-CN"/>
              </w:rPr>
              <w:t>261269</w:t>
            </w:r>
          </w:p>
        </w:tc>
        <w:tc>
          <w:tcPr>
            <w:tcW w:w="1848" w:type="dxa"/>
          </w:tcPr>
          <w:p>
            <w:pPr>
              <w:pStyle w:val="36"/>
              <w:rPr>
                <w:rFonts w:hint="default" w:eastAsia="宋体"/>
                <w:lang w:val="en-US" w:eastAsia="zh-CN"/>
              </w:rPr>
            </w:pPr>
            <w:r>
              <w:rPr>
                <w:rFonts w:hint="eastAsia" w:eastAsia="宋体"/>
                <w:lang w:val="en-US" w:eastAsia="zh-CN"/>
              </w:rPr>
              <w:t>261269-&lt;1&gt;-261338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48"/>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i w:val="0"/>
          <w:iCs w:val="0"/>
          <w:lang w:val="en-US" w:eastAsia="zh-CN"/>
        </w:rPr>
      </w:pPr>
      <w:r>
        <w:rPr>
          <w:rFonts w:hint="eastAsia"/>
          <w:b/>
          <w:bCs/>
          <w:i w:val="0"/>
          <w:iCs w:val="0"/>
          <w:lang w:val="en-US" w:eastAsia="zh-CN"/>
        </w:rPr>
        <w:t xml:space="preserve">Proposal 4: </w:t>
      </w:r>
      <w:r>
        <w:rPr>
          <w:rFonts w:hint="eastAsia"/>
          <w:lang w:val="en-US" w:eastAsia="zh-CN"/>
        </w:rPr>
        <w:t>For the Extended L-band, the channel raster, carrier frequency and EARFCN can be defined as Table 2.3-1.</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2.4 TX–RX frequency separation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default"/>
          <w:b w:val="0"/>
          <w:bCs w:val="0"/>
          <w:i w:val="0"/>
          <w:iCs w:val="0"/>
          <w:lang w:val="en-US" w:eastAsia="zh-CN"/>
        </w:rPr>
        <w:t xml:space="preserve">The default E-UTRA TX channel (carrier centre frequency) to RX channel (carrier centre frequency) separation for </w:t>
      </w:r>
      <w:r>
        <w:rPr>
          <w:rFonts w:hint="eastAsia"/>
          <w:b w:val="0"/>
          <w:bCs w:val="0"/>
          <w:i w:val="0"/>
          <w:iCs w:val="0"/>
          <w:lang w:val="en-US" w:eastAsia="zh-CN"/>
        </w:rPr>
        <w:t xml:space="preserve">the Extended L-band can be </w:t>
      </w:r>
      <w:r>
        <w:rPr>
          <w:rFonts w:hint="default"/>
          <w:b w:val="0"/>
          <w:bCs w:val="0"/>
          <w:i w:val="0"/>
          <w:iCs w:val="0"/>
          <w:lang w:val="en-US" w:eastAsia="zh-CN"/>
        </w:rPr>
        <w:t xml:space="preserve">specified in Table </w:t>
      </w:r>
      <w:r>
        <w:rPr>
          <w:rFonts w:hint="eastAsia"/>
          <w:b w:val="0"/>
          <w:bCs w:val="0"/>
          <w:i w:val="0"/>
          <w:iCs w:val="0"/>
          <w:lang w:val="en-US" w:eastAsia="zh-CN"/>
        </w:rPr>
        <w:t>2.4</w:t>
      </w:r>
      <w:r>
        <w:rPr>
          <w:rFonts w:hint="default"/>
          <w:b w:val="0"/>
          <w:bCs w:val="0"/>
          <w:i w:val="0"/>
          <w:iCs w:val="0"/>
          <w:lang w:val="en-US" w:eastAsia="zh-CN"/>
        </w:rPr>
        <w:t>-1.</w:t>
      </w:r>
    </w:p>
    <w:p>
      <w:pPr>
        <w:pStyle w:val="45"/>
      </w:pPr>
      <w:r>
        <w:t xml:space="preserve">Table </w:t>
      </w:r>
      <w:r>
        <w:rPr>
          <w:rFonts w:hint="eastAsia"/>
          <w:lang w:val="en-US" w:eastAsia="zh-CN"/>
        </w:rPr>
        <w:t>2</w:t>
      </w:r>
      <w:r>
        <w:t>.</w:t>
      </w:r>
      <w:r>
        <w:rPr>
          <w:rFonts w:hint="eastAsia"/>
          <w:lang w:val="en-US" w:eastAsia="zh-CN"/>
        </w:rPr>
        <w:t>4</w:t>
      </w:r>
      <w:r>
        <w:t>-1: Default UE TX-RX frequency separation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35"/>
              <w:rPr>
                <w:rFonts w:cs="Arial"/>
              </w:rPr>
            </w:pPr>
            <w:r>
              <w:rPr>
                <w:rFonts w:cs="Arial"/>
              </w:rPr>
              <w:t>E-UTRA Operating Band</w:t>
            </w:r>
          </w:p>
        </w:tc>
        <w:tc>
          <w:tcPr>
            <w:tcW w:w="2693" w:type="dxa"/>
          </w:tcPr>
          <w:p>
            <w:pPr>
              <w:pStyle w:val="35"/>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36"/>
              <w:rPr>
                <w:rFonts w:hint="default" w:eastAsia="宋体" w:cs="Arial"/>
                <w:lang w:val="en-US" w:eastAsia="zh-CN"/>
              </w:rPr>
            </w:pPr>
            <w:r>
              <w:rPr>
                <w:rFonts w:hint="eastAsia" w:eastAsia="宋体" w:cs="Arial"/>
                <w:lang w:val="en-US" w:eastAsia="zh-CN"/>
              </w:rPr>
              <w:t>[</w:t>
            </w:r>
            <w:r>
              <w:rPr>
                <w:rFonts w:cs="Arial"/>
              </w:rPr>
              <w:t>25</w:t>
            </w:r>
            <w:r>
              <w:rPr>
                <w:rFonts w:hint="eastAsia" w:eastAsia="宋体" w:cs="Arial"/>
                <w:lang w:val="en-US" w:eastAsia="zh-CN"/>
              </w:rPr>
              <w:t>3]</w:t>
            </w:r>
          </w:p>
        </w:tc>
        <w:tc>
          <w:tcPr>
            <w:tcW w:w="2693" w:type="dxa"/>
          </w:tcPr>
          <w:p>
            <w:pPr>
              <w:pStyle w:val="36"/>
              <w:rPr>
                <w:rFonts w:hint="default" w:eastAsia="宋体" w:cs="Arial"/>
                <w:lang w:val="en-US" w:eastAsia="zh-CN"/>
              </w:rPr>
            </w:pPr>
            <w:r>
              <w:rPr>
                <w:rFonts w:hint="eastAsia" w:eastAsia="宋体" w:cs="Arial"/>
                <w:lang w:val="en-US" w:eastAsia="zh-CN"/>
              </w:rPr>
              <w:t>-150 MHz</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Proposal 5:</w:t>
      </w:r>
      <w:r>
        <w:rPr>
          <w:rFonts w:hint="eastAsia"/>
          <w:b w:val="0"/>
          <w:bCs w:val="0"/>
          <w:i w:val="0"/>
          <w:iCs w:val="0"/>
          <w:lang w:val="en-US" w:eastAsia="zh-CN"/>
        </w:rPr>
        <w:t xml:space="preserve"> For the Extended L-band, the TX–RX frequency separation should be defined as Table 2.4-1.</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2.5 UE maximum output power</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Based on the objective of the WID, the Extended L-band supports UE power class 3 (+23dBm) and power class 5 (+20dBm). Therefore, the UE maximum output power for category M1 and category NB1 and NB2 can be specified in Table 2.5-1 and 2.5-2, respectively.</w:t>
      </w:r>
    </w:p>
    <w:p>
      <w:pPr>
        <w:pStyle w:val="45"/>
        <w:rPr>
          <w:rFonts w:hint="default" w:eastAsia="宋体"/>
          <w:lang w:val="en-US" w:eastAsia="zh-CN"/>
        </w:rPr>
      </w:pPr>
      <w:r>
        <w:t xml:space="preserve">Table </w:t>
      </w:r>
      <w:r>
        <w:rPr>
          <w:rFonts w:hint="eastAsia"/>
          <w:lang w:val="en-US" w:eastAsia="zh-CN"/>
        </w:rPr>
        <w:t>2.5</w:t>
      </w:r>
      <w:r>
        <w:t>-1: UE Power Class</w:t>
      </w:r>
      <w:r>
        <w:rPr>
          <w:rFonts w:hint="eastAsia"/>
          <w:lang w:val="en-US" w:eastAsia="zh-CN"/>
        </w:rPr>
        <w:t xml:space="preserve"> for category M1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35"/>
              <w:rPr>
                <w:rFonts w:cs="Arial"/>
              </w:rPr>
            </w:pPr>
            <w:r>
              <w:rPr>
                <w:rFonts w:cs="Arial"/>
              </w:rPr>
              <w:t>EUTRA band</w:t>
            </w:r>
          </w:p>
        </w:tc>
        <w:tc>
          <w:tcPr>
            <w:tcW w:w="1008" w:type="dxa"/>
          </w:tcPr>
          <w:p>
            <w:pPr>
              <w:pStyle w:val="35"/>
              <w:rPr>
                <w:rFonts w:cs="Arial"/>
              </w:rPr>
            </w:pPr>
            <w:r>
              <w:rPr>
                <w:rFonts w:cs="Arial"/>
              </w:rPr>
              <w:t>Class 2</w:t>
            </w:r>
          </w:p>
          <w:p>
            <w:pPr>
              <w:pStyle w:val="35"/>
              <w:rPr>
                <w:rFonts w:cs="Arial"/>
              </w:rPr>
            </w:pPr>
            <w:r>
              <w:rPr>
                <w:rFonts w:cs="Arial"/>
              </w:rPr>
              <w:t>(dBm)</w:t>
            </w:r>
          </w:p>
        </w:tc>
        <w:tc>
          <w:tcPr>
            <w:tcW w:w="1067" w:type="dxa"/>
          </w:tcPr>
          <w:p>
            <w:pPr>
              <w:pStyle w:val="35"/>
              <w:rPr>
                <w:rFonts w:cs="Arial"/>
              </w:rPr>
            </w:pPr>
            <w:r>
              <w:rPr>
                <w:rFonts w:cs="Arial"/>
              </w:rPr>
              <w:t>Tolerance</w:t>
            </w:r>
          </w:p>
          <w:p>
            <w:pPr>
              <w:pStyle w:val="35"/>
              <w:rPr>
                <w:rFonts w:cs="Arial"/>
              </w:rPr>
            </w:pPr>
            <w:r>
              <w:rPr>
                <w:rFonts w:cs="Arial"/>
              </w:rPr>
              <w:t>(dB)</w:t>
            </w:r>
          </w:p>
        </w:tc>
        <w:tc>
          <w:tcPr>
            <w:tcW w:w="1008" w:type="dxa"/>
          </w:tcPr>
          <w:p>
            <w:pPr>
              <w:pStyle w:val="35"/>
              <w:rPr>
                <w:rFonts w:cs="Arial"/>
              </w:rPr>
            </w:pPr>
            <w:r>
              <w:rPr>
                <w:rFonts w:cs="Arial"/>
              </w:rPr>
              <w:t>Class 3 (dBm)</w:t>
            </w:r>
          </w:p>
        </w:tc>
        <w:tc>
          <w:tcPr>
            <w:tcW w:w="1067" w:type="dxa"/>
          </w:tcPr>
          <w:p>
            <w:pPr>
              <w:pStyle w:val="35"/>
              <w:rPr>
                <w:rFonts w:cs="Arial"/>
              </w:rPr>
            </w:pPr>
            <w:r>
              <w:rPr>
                <w:rFonts w:cs="Arial"/>
              </w:rPr>
              <w:t>Tolerance (dB)</w:t>
            </w:r>
          </w:p>
        </w:tc>
        <w:tc>
          <w:tcPr>
            <w:tcW w:w="1008" w:type="dxa"/>
          </w:tcPr>
          <w:p>
            <w:pPr>
              <w:pStyle w:val="35"/>
              <w:rPr>
                <w:rFonts w:cs="Arial"/>
              </w:rPr>
            </w:pPr>
            <w:r>
              <w:rPr>
                <w:rFonts w:cs="Arial"/>
              </w:rPr>
              <w:t>Class 5 (dBm)</w:t>
            </w:r>
          </w:p>
        </w:tc>
        <w:tc>
          <w:tcPr>
            <w:tcW w:w="1994" w:type="dxa"/>
          </w:tcPr>
          <w:p>
            <w:pPr>
              <w:pStyle w:val="35"/>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36"/>
              <w:rPr>
                <w:rFonts w:hint="default" w:eastAsia="宋体" w:cs="Arial"/>
                <w:lang w:val="en-US" w:eastAsia="zh-CN"/>
              </w:rPr>
            </w:pPr>
            <w:r>
              <w:rPr>
                <w:rFonts w:hint="eastAsia" w:eastAsia="宋体" w:cs="Arial"/>
                <w:lang w:val="en-US" w:eastAsia="zh-CN"/>
              </w:rPr>
              <w:t>[</w:t>
            </w:r>
            <w:r>
              <w:rPr>
                <w:rFonts w:cs="Arial"/>
                <w:lang w:eastAsia="zh-TW"/>
              </w:rPr>
              <w:t>25</w:t>
            </w:r>
            <w:r>
              <w:rPr>
                <w:rFonts w:hint="eastAsia" w:eastAsia="宋体" w:cs="Arial"/>
                <w:lang w:val="en-US" w:eastAsia="zh-CN"/>
              </w:rPr>
              <w:t>3]</w:t>
            </w:r>
          </w:p>
        </w:tc>
        <w:tc>
          <w:tcPr>
            <w:tcW w:w="1008" w:type="dxa"/>
          </w:tcPr>
          <w:p>
            <w:pPr>
              <w:pStyle w:val="36"/>
              <w:rPr>
                <w:rFonts w:cs="Arial"/>
              </w:rPr>
            </w:pPr>
          </w:p>
        </w:tc>
        <w:tc>
          <w:tcPr>
            <w:tcW w:w="1067" w:type="dxa"/>
          </w:tcPr>
          <w:p>
            <w:pPr>
              <w:pStyle w:val="36"/>
              <w:rPr>
                <w:rFonts w:cs="Arial"/>
              </w:rPr>
            </w:pPr>
          </w:p>
        </w:tc>
        <w:tc>
          <w:tcPr>
            <w:tcW w:w="1008" w:type="dxa"/>
          </w:tcPr>
          <w:p>
            <w:pPr>
              <w:pStyle w:val="36"/>
              <w:rPr>
                <w:rFonts w:cs="Arial"/>
              </w:rPr>
            </w:pPr>
            <w:r>
              <w:rPr>
                <w:rFonts w:cs="Arial"/>
              </w:rPr>
              <w:t>23</w:t>
            </w:r>
          </w:p>
        </w:tc>
        <w:tc>
          <w:tcPr>
            <w:tcW w:w="1067" w:type="dxa"/>
          </w:tcPr>
          <w:p>
            <w:pPr>
              <w:pStyle w:val="36"/>
              <w:rPr>
                <w:rFonts w:cs="Arial"/>
              </w:rPr>
            </w:pPr>
            <w:r>
              <w:rPr>
                <w:rFonts w:cs="Arial"/>
              </w:rPr>
              <w:t>+/-2</w:t>
            </w:r>
          </w:p>
        </w:tc>
        <w:tc>
          <w:tcPr>
            <w:tcW w:w="1008" w:type="dxa"/>
          </w:tcPr>
          <w:p>
            <w:pPr>
              <w:pStyle w:val="36"/>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Pr>
          <w:p>
            <w:pPr>
              <w:pStyle w:val="36"/>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48"/>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p>
    <w:p>
      <w:pPr>
        <w:pStyle w:val="45"/>
        <w:rPr>
          <w:rFonts w:hint="default" w:eastAsia="宋体"/>
          <w:lang w:val="en-US" w:eastAsia="zh-CN"/>
        </w:rPr>
      </w:pPr>
      <w:r>
        <w:t>Table</w:t>
      </w:r>
      <w:r>
        <w:rPr>
          <w:rFonts w:hint="eastAsia"/>
          <w:lang w:val="en-US" w:eastAsia="zh-CN"/>
        </w:rPr>
        <w:t xml:space="preserve"> 2.5-2</w:t>
      </w:r>
      <w:r>
        <w:t>: UE Power Class</w:t>
      </w:r>
      <w:r>
        <w:rPr>
          <w:rFonts w:hint="eastAsia"/>
          <w:lang w:val="en-US" w:eastAsia="zh-CN"/>
        </w:rPr>
        <w:t xml:space="preserve"> for category NB1 and NB2</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35"/>
              <w:rPr>
                <w:lang w:eastAsia="ja-JP"/>
              </w:rPr>
            </w:pPr>
            <w:r>
              <w:rPr>
                <w:lang w:eastAsia="ja-JP"/>
              </w:rPr>
              <w:t>EUTRA band</w:t>
            </w:r>
          </w:p>
        </w:tc>
        <w:tc>
          <w:tcPr>
            <w:tcW w:w="1008" w:type="dxa"/>
          </w:tcPr>
          <w:p>
            <w:pPr>
              <w:pStyle w:val="35"/>
              <w:rPr>
                <w:lang w:eastAsia="ja-JP"/>
              </w:rPr>
            </w:pPr>
            <w:r>
              <w:rPr>
                <w:lang w:eastAsia="ja-JP"/>
              </w:rPr>
              <w:t>Class 3 (dBm)</w:t>
            </w:r>
          </w:p>
        </w:tc>
        <w:tc>
          <w:tcPr>
            <w:tcW w:w="1067" w:type="dxa"/>
          </w:tcPr>
          <w:p>
            <w:pPr>
              <w:pStyle w:val="35"/>
              <w:rPr>
                <w:lang w:eastAsia="ja-JP"/>
              </w:rPr>
            </w:pPr>
            <w:r>
              <w:rPr>
                <w:lang w:eastAsia="ja-JP"/>
              </w:rPr>
              <w:t>Tolerance (dB)</w:t>
            </w:r>
          </w:p>
        </w:tc>
        <w:tc>
          <w:tcPr>
            <w:tcW w:w="1008" w:type="dxa"/>
          </w:tcPr>
          <w:p>
            <w:pPr>
              <w:pStyle w:val="35"/>
              <w:rPr>
                <w:lang w:eastAsia="ja-JP"/>
              </w:rPr>
            </w:pPr>
            <w:r>
              <w:rPr>
                <w:lang w:eastAsia="ja-JP"/>
              </w:rPr>
              <w:t>Class 5 (dBm)</w:t>
            </w:r>
          </w:p>
        </w:tc>
        <w:tc>
          <w:tcPr>
            <w:tcW w:w="1067" w:type="dxa"/>
          </w:tcPr>
          <w:p>
            <w:pPr>
              <w:pStyle w:val="35"/>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36"/>
              <w:rPr>
                <w:rFonts w:hint="default" w:eastAsia="宋体" w:cs="Arial"/>
                <w:lang w:val="en-US" w:eastAsia="zh-CN"/>
              </w:rPr>
            </w:pPr>
            <w:r>
              <w:rPr>
                <w:rFonts w:hint="eastAsia" w:eastAsia="宋体" w:cs="Arial"/>
                <w:lang w:val="en-US" w:eastAsia="zh-CN"/>
              </w:rPr>
              <w:t>[</w:t>
            </w:r>
            <w:r>
              <w:rPr>
                <w:rFonts w:hint="eastAsia" w:cs="Arial"/>
                <w:lang w:eastAsia="zh-TW"/>
              </w:rPr>
              <w:t>2</w:t>
            </w:r>
            <w:r>
              <w:rPr>
                <w:rFonts w:cs="Arial"/>
                <w:lang w:eastAsia="zh-TW"/>
              </w:rPr>
              <w:t>5</w:t>
            </w:r>
            <w:r>
              <w:rPr>
                <w:rFonts w:hint="eastAsia" w:eastAsia="宋体" w:cs="Arial"/>
                <w:lang w:val="en-US" w:eastAsia="zh-CN"/>
              </w:rPr>
              <w:t>3]</w:t>
            </w:r>
          </w:p>
        </w:tc>
        <w:tc>
          <w:tcPr>
            <w:tcW w:w="1008" w:type="dxa"/>
          </w:tcPr>
          <w:p>
            <w:pPr>
              <w:pStyle w:val="36"/>
              <w:rPr>
                <w:rFonts w:cs="Arial"/>
                <w:lang w:eastAsia="ja-JP"/>
              </w:rPr>
            </w:pPr>
            <w:r>
              <w:rPr>
                <w:rFonts w:cs="Arial"/>
                <w:lang w:eastAsia="ja-JP"/>
              </w:rPr>
              <w:t>23</w:t>
            </w:r>
          </w:p>
        </w:tc>
        <w:tc>
          <w:tcPr>
            <w:tcW w:w="1067" w:type="dxa"/>
          </w:tcPr>
          <w:p>
            <w:pPr>
              <w:pStyle w:val="36"/>
              <w:rPr>
                <w:rFonts w:cs="Arial"/>
                <w:lang w:eastAsia="ja-JP"/>
              </w:rPr>
            </w:pPr>
            <w:r>
              <w:rPr>
                <w:rFonts w:cs="Arial"/>
              </w:rPr>
              <w:t>+/-2</w:t>
            </w:r>
          </w:p>
        </w:tc>
        <w:tc>
          <w:tcPr>
            <w:tcW w:w="1008" w:type="dxa"/>
          </w:tcPr>
          <w:p>
            <w:pPr>
              <w:pStyle w:val="36"/>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36"/>
              <w:rPr>
                <w:rFonts w:cs="Arial"/>
                <w:lang w:eastAsia="ja-JP"/>
              </w:rPr>
            </w:pPr>
            <w:r>
              <w:rPr>
                <w:rFonts w:cs="Arial"/>
              </w:rPr>
              <w:t>+/-2</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Proposal 6:</w:t>
      </w:r>
      <w:r>
        <w:rPr>
          <w:rFonts w:hint="eastAsia"/>
          <w:b w:val="0"/>
          <w:bCs w:val="0"/>
          <w:i w:val="0"/>
          <w:iCs w:val="0"/>
          <w:lang w:val="en-US" w:eastAsia="zh-CN"/>
        </w:rPr>
        <w:t xml:space="preserve"> For the Extended L-band, the UE maximum output power for category M1 and category NB1 and NB2 can be specified in Table 2.5-1 and 2.5-2, respectively.</w:t>
      </w:r>
    </w:p>
    <w:bookmarkEnd w:id="2"/>
    <w:bookmarkEnd w:id="3"/>
    <w:bookmarkEnd w:id="4"/>
    <w:bookmarkEnd w:id="5"/>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 xml:space="preserve">on </w:t>
      </w:r>
      <w:r>
        <w:rPr>
          <w:rFonts w:hint="eastAsia"/>
          <w:lang w:val="en-US" w:eastAsia="zh-CN"/>
        </w:rPr>
        <w:t>UE</w:t>
      </w:r>
      <w:r>
        <w:rPr>
          <w:rFonts w:hint="eastAsia"/>
          <w:lang w:val="en-US"/>
        </w:rPr>
        <w:t xml:space="preserve"> RF requirements for Introduction of the satellite L-/S-band</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The Extended L-band should be numbered as Table 2.1-1.</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bCs/>
          <w:i w:val="0"/>
          <w:iCs w:val="0"/>
          <w:lang w:val="en-US" w:eastAsia="zh-CN"/>
        </w:rPr>
        <w:t xml:space="preserve">Proposal 2: </w:t>
      </w:r>
      <w:r>
        <w:rPr>
          <w:rFonts w:hint="eastAsia"/>
          <w:lang w:val="en-US" w:eastAsia="zh-CN"/>
        </w:rPr>
        <w:t>For the Extended L-band, channel bandwidth and transmission bandwidth configuration for eMTC NTN operation should be defined as Table 2.2-1.</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i w:val="0"/>
          <w:iCs w:val="0"/>
          <w:lang w:val="en-US" w:eastAsia="zh-CN"/>
        </w:rPr>
      </w:pPr>
      <w:r>
        <w:rPr>
          <w:rFonts w:hint="eastAsia"/>
          <w:b/>
          <w:bCs/>
          <w:i w:val="0"/>
          <w:iCs w:val="0"/>
          <w:lang w:val="en-US" w:eastAsia="zh-CN"/>
        </w:rPr>
        <w:t xml:space="preserve">Proposal 3: </w:t>
      </w:r>
      <w:r>
        <w:rPr>
          <w:rFonts w:hint="eastAsia"/>
          <w:lang w:val="en-US" w:eastAsia="zh-CN"/>
        </w:rPr>
        <w:t>For the Extended L-band, channel bandwidth and transmission bandwidth configuration for NB-IoT NTN operation should be defined as Table 2.2-2.</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i w:val="0"/>
          <w:iCs w:val="0"/>
          <w:lang w:val="en-US" w:eastAsia="zh-CN"/>
        </w:rPr>
      </w:pPr>
      <w:r>
        <w:rPr>
          <w:rFonts w:hint="eastAsia"/>
          <w:b/>
          <w:bCs/>
          <w:i w:val="0"/>
          <w:iCs w:val="0"/>
          <w:lang w:val="en-US" w:eastAsia="zh-CN"/>
        </w:rPr>
        <w:t xml:space="preserve">Proposal 4: </w:t>
      </w:r>
      <w:r>
        <w:rPr>
          <w:rFonts w:hint="eastAsia"/>
          <w:lang w:val="en-US" w:eastAsia="zh-CN"/>
        </w:rPr>
        <w:t>For the Extended L-band, the channel raster, carrier frequency and EARFCN can be defined as Table 2.3-1.</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Proposal 5:</w:t>
      </w:r>
      <w:r>
        <w:rPr>
          <w:rFonts w:hint="eastAsia"/>
          <w:b w:val="0"/>
          <w:bCs w:val="0"/>
          <w:i w:val="0"/>
          <w:iCs w:val="0"/>
          <w:lang w:val="en-US" w:eastAsia="zh-CN"/>
        </w:rPr>
        <w:t xml:space="preserve"> For the Extended L-band, the TX–RX frequency separation should be defined as Table 2.4-1.</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Proposal 6:</w:t>
      </w:r>
      <w:r>
        <w:rPr>
          <w:rFonts w:hint="eastAsia"/>
          <w:b w:val="0"/>
          <w:bCs w:val="0"/>
          <w:i w:val="0"/>
          <w:iCs w:val="0"/>
          <w:lang w:val="en-US" w:eastAsia="zh-CN"/>
        </w:rPr>
        <w:t xml:space="preserve"> For the Extended L-band, the UE maximum output power for category M1 and category NB1 and NB2 can be specified in Table 2.5-1 and 2.5-2, respectively.</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4"/>
        </w:numPr>
      </w:pPr>
      <w:r>
        <w:rPr>
          <w:rFonts w:hint="eastAsia" w:ascii="Times New Roman" w:hAnsi="Times New Roman" w:eastAsia="宋体" w:cs="Times New Roman"/>
          <w:sz w:val="20"/>
          <w:szCs w:val="20"/>
          <w:highlight w:val="none"/>
          <w:lang w:val="en-US" w:eastAsia="zh-CN"/>
        </w:rPr>
        <w:t>RP-23079</w:t>
      </w:r>
      <w:r>
        <w:rPr>
          <w:rFonts w:hint="eastAsia" w:cs="Times New Roman"/>
          <w:sz w:val="20"/>
          <w:szCs w:val="20"/>
          <w:highlight w:val="none"/>
          <w:lang w:val="en-US" w:eastAsia="zh-CN"/>
        </w:rPr>
        <w:t xml:space="preserve">0,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New WID on Introduction of the Extended L-band (UL 1668-1675, DL 1518-1525) for IoT NTN”, Inmarsat</w:t>
      </w: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Yu Mincho">
    <w:altName w:val="MS PMincho"/>
    <w:panose1 w:val="02020400000000000000"/>
    <w:charset w:val="80"/>
    <w:family w:val="roman"/>
    <w:pitch w:val="default"/>
    <w:sig w:usb0="00000000" w:usb1="00000000" w:usb2="00000012" w:usb3="00000000" w:csb0="0002009F" w:csb1="00000000"/>
  </w:font>
  <w:font w:name="MS PMincho">
    <w:panose1 w:val="02020600040205080304"/>
    <w:charset w:val="80"/>
    <w:family w:val="auto"/>
    <w:pitch w:val="default"/>
    <w:sig w:usb0="E00002FF" w:usb1="6AC7FDFB" w:usb2="00000012" w:usb3="00000000" w:csb0="4002009F" w:csb1="DFD7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4C16130"/>
    <w:multiLevelType w:val="multilevel"/>
    <w:tmpl w:val="14C1613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ACA5D94"/>
    <w:multiLevelType w:val="multilevel"/>
    <w:tmpl w:val="1ACA5D94"/>
    <w:lvl w:ilvl="0" w:tentative="0">
      <w:start w:val="0"/>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CF27B4"/>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1D3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EE4213"/>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22168"/>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E73C8"/>
    <w:rsid w:val="0D3F4797"/>
    <w:rsid w:val="0D432A3E"/>
    <w:rsid w:val="0D480AA9"/>
    <w:rsid w:val="0D5800C7"/>
    <w:rsid w:val="0D5B6E86"/>
    <w:rsid w:val="0D604B9B"/>
    <w:rsid w:val="0D63712E"/>
    <w:rsid w:val="0D6A353C"/>
    <w:rsid w:val="0D813BDF"/>
    <w:rsid w:val="0D826C81"/>
    <w:rsid w:val="0D904522"/>
    <w:rsid w:val="0D976014"/>
    <w:rsid w:val="0D9D7A3A"/>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3B9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A5CBC"/>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34626E"/>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17FC"/>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94E84"/>
    <w:rsid w:val="278A6416"/>
    <w:rsid w:val="27907336"/>
    <w:rsid w:val="279408D2"/>
    <w:rsid w:val="279A2ED3"/>
    <w:rsid w:val="279D17AF"/>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06483"/>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256C0"/>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7B2532"/>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9C3444"/>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B6F1A"/>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3507D"/>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624B7F"/>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3099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A3415"/>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E1BC5"/>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50AB6"/>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94BFF"/>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6607B"/>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9259E2"/>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6EED"/>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8643C"/>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7B5CBF"/>
    <w:rsid w:val="6C831974"/>
    <w:rsid w:val="6C882F2E"/>
    <w:rsid w:val="6C8E4315"/>
    <w:rsid w:val="6C95615F"/>
    <w:rsid w:val="6CA94419"/>
    <w:rsid w:val="6CB242A2"/>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32185"/>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255AC"/>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DC7644"/>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2023-04-10T06:57:55Z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EFF09C6C39EF409E92EE5A1637B72E6C</vt:lpwstr>
  </property>
</Properties>
</file>